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87" w:rsidRPr="00B31AF1" w:rsidRDefault="00373087" w:rsidP="0039339B">
      <w:pPr>
        <w:pStyle w:val="Default"/>
        <w:spacing w:before="2040"/>
        <w:jc w:val="center"/>
        <w:rPr>
          <w:rFonts w:ascii="Arial Narrow" w:hAnsi="Arial Narrow"/>
          <w:b/>
          <w:bCs/>
          <w:sz w:val="48"/>
          <w:szCs w:val="48"/>
        </w:rPr>
      </w:pPr>
      <w:r w:rsidRPr="00B31AF1">
        <w:rPr>
          <w:rFonts w:ascii="Arial Narrow" w:hAnsi="Arial Narrow"/>
          <w:b/>
          <w:bCs/>
          <w:sz w:val="48"/>
          <w:szCs w:val="48"/>
        </w:rPr>
        <w:t>Technická zpráva</w:t>
      </w:r>
    </w:p>
    <w:p w:rsidR="00A057DE" w:rsidRPr="00B31AF1" w:rsidRDefault="00373087" w:rsidP="0039339B">
      <w:pPr>
        <w:pStyle w:val="Textpsmene"/>
        <w:numPr>
          <w:ilvl w:val="0"/>
          <w:numId w:val="0"/>
        </w:numPr>
        <w:spacing w:before="2040"/>
        <w:rPr>
          <w:rFonts w:ascii="Arial Narrow" w:hAnsi="Arial Narrow"/>
          <w:b/>
          <w:bCs/>
          <w:sz w:val="28"/>
        </w:rPr>
      </w:pPr>
      <w:r w:rsidRPr="00B31AF1">
        <w:rPr>
          <w:rFonts w:ascii="Arial Narrow" w:hAnsi="Arial Narrow"/>
          <w:b/>
          <w:bCs/>
          <w:sz w:val="28"/>
        </w:rPr>
        <w:t>Obsah</w:t>
      </w:r>
    </w:p>
    <w:p w:rsidR="00A057DE" w:rsidRPr="00B31AF1" w:rsidRDefault="00A057DE">
      <w:pPr>
        <w:pStyle w:val="Default"/>
        <w:spacing w:before="120"/>
        <w:rPr>
          <w:rFonts w:ascii="Arial Narrow" w:hAnsi="Arial Narrow"/>
          <w:bCs/>
        </w:rPr>
      </w:pPr>
      <w:r w:rsidRPr="00B31AF1">
        <w:rPr>
          <w:rFonts w:ascii="Arial Narrow" w:hAnsi="Arial Narrow"/>
          <w:b/>
          <w:bCs/>
        </w:rPr>
        <w:t xml:space="preserve">Identifikační údaje – </w:t>
      </w:r>
      <w:r w:rsidRPr="00B31AF1">
        <w:rPr>
          <w:rFonts w:ascii="Arial Narrow" w:hAnsi="Arial Narrow"/>
          <w:bCs/>
        </w:rPr>
        <w:t>údaje o stavbě, údaje o stavebníkovi, údaje o zpracovateli projektové dokumentace</w:t>
      </w:r>
    </w:p>
    <w:p w:rsidR="00A057DE" w:rsidRPr="00B31AF1" w:rsidRDefault="00A057DE">
      <w:pPr>
        <w:pStyle w:val="Default"/>
        <w:spacing w:before="120"/>
        <w:rPr>
          <w:rFonts w:ascii="Arial Narrow" w:hAnsi="Arial Narrow"/>
          <w:b/>
          <w:bCs/>
        </w:rPr>
      </w:pPr>
      <w:r w:rsidRPr="00B31AF1">
        <w:rPr>
          <w:rFonts w:ascii="Arial Narrow" w:hAnsi="Arial Narrow"/>
          <w:b/>
          <w:bCs/>
        </w:rPr>
        <w:t>Účel objektu a popis rozsahu prací</w:t>
      </w:r>
    </w:p>
    <w:p w:rsidR="00373087" w:rsidRPr="00B31AF1" w:rsidRDefault="00373087">
      <w:pPr>
        <w:pStyle w:val="Default"/>
        <w:spacing w:before="120"/>
        <w:rPr>
          <w:rFonts w:ascii="Arial Narrow" w:hAnsi="Arial Narrow"/>
          <w:b/>
          <w:bCs/>
        </w:rPr>
      </w:pPr>
      <w:r w:rsidRPr="00B31AF1">
        <w:rPr>
          <w:rFonts w:ascii="Arial Narrow" w:hAnsi="Arial Narrow"/>
          <w:b/>
          <w:bCs/>
        </w:rPr>
        <w:t>Konstrukční a stavebně technické řešení a technické vlastnosti stavby</w:t>
      </w:r>
    </w:p>
    <w:p w:rsidR="00C015A7" w:rsidRPr="00B31AF1" w:rsidRDefault="00C015A7">
      <w:pPr>
        <w:pStyle w:val="Default"/>
        <w:spacing w:before="120"/>
        <w:rPr>
          <w:rFonts w:ascii="Arial Narrow" w:hAnsi="Arial Narrow"/>
          <w:b/>
          <w:bCs/>
        </w:rPr>
      </w:pPr>
      <w:r w:rsidRPr="00B31AF1">
        <w:rPr>
          <w:rFonts w:ascii="Arial Narrow" w:hAnsi="Arial Narrow"/>
          <w:b/>
          <w:bCs/>
        </w:rPr>
        <w:t>Zásady organizace výstavby</w:t>
      </w:r>
    </w:p>
    <w:p w:rsidR="00373087" w:rsidRPr="00B31AF1" w:rsidRDefault="00373087">
      <w:pPr>
        <w:pStyle w:val="Default"/>
        <w:spacing w:before="120"/>
        <w:rPr>
          <w:rFonts w:ascii="Arial Narrow" w:hAnsi="Arial Narrow"/>
          <w:b/>
          <w:bCs/>
        </w:rPr>
      </w:pPr>
      <w:r w:rsidRPr="00B31AF1">
        <w:rPr>
          <w:rFonts w:ascii="Arial Narrow" w:hAnsi="Arial Narrow"/>
          <w:b/>
          <w:bCs/>
        </w:rPr>
        <w:t>Výpis použitých norem</w:t>
      </w:r>
    </w:p>
    <w:p w:rsidR="00105AD7" w:rsidRPr="00B31AF1" w:rsidRDefault="0039339B" w:rsidP="00427C9F">
      <w:pPr>
        <w:pStyle w:val="Default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</w:rPr>
        <w:br w:type="page"/>
      </w:r>
      <w:r w:rsidR="00105AD7" w:rsidRPr="00B31AF1">
        <w:rPr>
          <w:rFonts w:ascii="Arial Narrow" w:hAnsi="Arial Narrow"/>
          <w:b/>
          <w:bCs/>
          <w:sz w:val="26"/>
        </w:rPr>
        <w:lastRenderedPageBreak/>
        <w:t>Identifikační údaje</w:t>
      </w:r>
    </w:p>
    <w:p w:rsidR="002A5B82" w:rsidRPr="00B31AF1" w:rsidRDefault="002A5B82" w:rsidP="00427C9F">
      <w:pPr>
        <w:pStyle w:val="Zkladntext"/>
        <w:spacing w:before="180" w:after="0"/>
        <w:jc w:val="both"/>
        <w:rPr>
          <w:rFonts w:ascii="Arial Narrow" w:hAnsi="Arial Narrow"/>
          <w:b/>
          <w:i/>
        </w:rPr>
      </w:pPr>
      <w:r w:rsidRPr="00B31AF1">
        <w:rPr>
          <w:rFonts w:ascii="Arial Narrow" w:hAnsi="Arial Narrow"/>
          <w:b/>
          <w:i/>
        </w:rPr>
        <w:t>Název stavby</w:t>
      </w:r>
    </w:p>
    <w:p w:rsidR="002A5B82" w:rsidRPr="00B31AF1" w:rsidRDefault="00EA09A7" w:rsidP="00427C9F">
      <w:pPr>
        <w:pStyle w:val="Zkladntext"/>
        <w:spacing w:before="20" w:after="0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Umístění náhradního zdroje, ZZS Temný Důl, p.č. 314/4, k.ú. Temný Důl</w:t>
      </w:r>
    </w:p>
    <w:p w:rsidR="007A357E" w:rsidRPr="00B31AF1" w:rsidRDefault="007A357E" w:rsidP="00427C9F">
      <w:pPr>
        <w:pStyle w:val="Zkladntext"/>
        <w:spacing w:before="180" w:after="0"/>
        <w:jc w:val="both"/>
        <w:rPr>
          <w:rFonts w:ascii="Arial Narrow" w:hAnsi="Arial Narrow"/>
          <w:b/>
          <w:i/>
        </w:rPr>
      </w:pPr>
      <w:r w:rsidRPr="00B31AF1">
        <w:rPr>
          <w:rFonts w:ascii="Arial Narrow" w:hAnsi="Arial Narrow"/>
          <w:b/>
          <w:i/>
        </w:rPr>
        <w:t>Místo stavby (adresa, čísla popisná, katastrální území, parcelní čísla pozemků)</w:t>
      </w:r>
    </w:p>
    <w:p w:rsidR="00DE1A63" w:rsidRPr="00B31AF1" w:rsidRDefault="00DA0430" w:rsidP="00427C9F">
      <w:pPr>
        <w:pStyle w:val="Zkladntext"/>
        <w:spacing w:before="20" w:after="0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Horní Maršov, </w:t>
      </w:r>
      <w:r w:rsidR="00427C9F" w:rsidRPr="00B31AF1">
        <w:rPr>
          <w:rFonts w:ascii="Arial Narrow" w:hAnsi="Arial Narrow"/>
        </w:rPr>
        <w:t xml:space="preserve">část obce Temný Důl, u čp. 24 a 25; </w:t>
      </w:r>
      <w:r w:rsidRPr="00B31AF1">
        <w:rPr>
          <w:rFonts w:ascii="Arial Narrow" w:hAnsi="Arial Narrow"/>
        </w:rPr>
        <w:t>k.ú. Temný Důl</w:t>
      </w:r>
      <w:r w:rsidR="00427C9F" w:rsidRPr="00B31AF1">
        <w:rPr>
          <w:rFonts w:ascii="Arial Narrow" w:hAnsi="Arial Narrow"/>
        </w:rPr>
        <w:t xml:space="preserve"> [643521]</w:t>
      </w:r>
      <w:r w:rsidRPr="00B31AF1">
        <w:rPr>
          <w:rFonts w:ascii="Arial Narrow" w:hAnsi="Arial Narrow"/>
        </w:rPr>
        <w:t xml:space="preserve">, </w:t>
      </w:r>
      <w:r w:rsidR="00427C9F" w:rsidRPr="00B31AF1">
        <w:rPr>
          <w:rFonts w:ascii="Arial Narrow" w:hAnsi="Arial Narrow"/>
        </w:rPr>
        <w:t xml:space="preserve">pozemek </w:t>
      </w:r>
      <w:r w:rsidRPr="00B31AF1">
        <w:rPr>
          <w:rFonts w:ascii="Arial Narrow" w:hAnsi="Arial Narrow"/>
        </w:rPr>
        <w:t>p.</w:t>
      </w:r>
      <w:r w:rsidR="00427C9F" w:rsidRPr="00B31AF1">
        <w:rPr>
          <w:rFonts w:ascii="Arial Narrow" w:hAnsi="Arial Narrow"/>
        </w:rPr>
        <w:t xml:space="preserve"> </w:t>
      </w:r>
      <w:r w:rsidRPr="00B31AF1">
        <w:rPr>
          <w:rFonts w:ascii="Arial Narrow" w:hAnsi="Arial Narrow"/>
        </w:rPr>
        <w:t>č. 314/4</w:t>
      </w:r>
    </w:p>
    <w:p w:rsidR="00105AD7" w:rsidRPr="00B31AF1" w:rsidRDefault="00105AD7" w:rsidP="00427C9F">
      <w:pPr>
        <w:pStyle w:val="Default"/>
        <w:spacing w:before="18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Údaje o stavbě</w:t>
      </w:r>
    </w:p>
    <w:p w:rsidR="00F066A0" w:rsidRPr="00B31AF1" w:rsidRDefault="002F0E7F" w:rsidP="00427C9F">
      <w:pPr>
        <w:pStyle w:val="Zkladntext"/>
        <w:spacing w:before="20" w:after="0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Práce</w:t>
      </w:r>
      <w:r w:rsidR="00AA19F7" w:rsidRPr="00B31AF1">
        <w:rPr>
          <w:rFonts w:ascii="Arial Narrow" w:hAnsi="Arial Narrow"/>
        </w:rPr>
        <w:t xml:space="preserve"> bud</w:t>
      </w:r>
      <w:r w:rsidRPr="00B31AF1">
        <w:rPr>
          <w:rFonts w:ascii="Arial Narrow" w:hAnsi="Arial Narrow"/>
        </w:rPr>
        <w:t>ou</w:t>
      </w:r>
      <w:r w:rsidR="00AA19F7" w:rsidRPr="00B31AF1">
        <w:rPr>
          <w:rFonts w:ascii="Arial Narrow" w:hAnsi="Arial Narrow"/>
        </w:rPr>
        <w:t xml:space="preserve"> prov</w:t>
      </w:r>
      <w:r w:rsidRPr="00B31AF1">
        <w:rPr>
          <w:rFonts w:ascii="Arial Narrow" w:hAnsi="Arial Narrow"/>
        </w:rPr>
        <w:t>á</w:t>
      </w:r>
      <w:r w:rsidR="00AA19F7" w:rsidRPr="00B31AF1">
        <w:rPr>
          <w:rFonts w:ascii="Arial Narrow" w:hAnsi="Arial Narrow"/>
        </w:rPr>
        <w:t>d</w:t>
      </w:r>
      <w:r w:rsidRPr="00B31AF1">
        <w:rPr>
          <w:rFonts w:ascii="Arial Narrow" w:hAnsi="Arial Narrow"/>
        </w:rPr>
        <w:t>ě</w:t>
      </w:r>
      <w:r w:rsidR="00AA19F7" w:rsidRPr="00B31AF1">
        <w:rPr>
          <w:rFonts w:ascii="Arial Narrow" w:hAnsi="Arial Narrow"/>
        </w:rPr>
        <w:t>n</w:t>
      </w:r>
      <w:r w:rsidRPr="00B31AF1">
        <w:rPr>
          <w:rFonts w:ascii="Arial Narrow" w:hAnsi="Arial Narrow"/>
        </w:rPr>
        <w:t>y</w:t>
      </w:r>
      <w:r w:rsidR="00AA19F7" w:rsidRPr="00B31AF1">
        <w:rPr>
          <w:rFonts w:ascii="Arial Narrow" w:hAnsi="Arial Narrow"/>
        </w:rPr>
        <w:t xml:space="preserve"> </w:t>
      </w:r>
      <w:r w:rsidR="00111DF6" w:rsidRPr="00B31AF1">
        <w:rPr>
          <w:rFonts w:ascii="Arial Narrow" w:hAnsi="Arial Narrow"/>
        </w:rPr>
        <w:t>na pozemku p.č. 314/4, přiléhajícím k budově Zdravotnické záchranné služby Temný Důl.</w:t>
      </w:r>
    </w:p>
    <w:p w:rsidR="00105AD7" w:rsidRPr="00B31AF1" w:rsidRDefault="00427C9F" w:rsidP="00427C9F">
      <w:pPr>
        <w:pStyle w:val="Default"/>
        <w:spacing w:before="18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Údaje o stavebníkovi</w:t>
      </w:r>
    </w:p>
    <w:p w:rsidR="007A357E" w:rsidRPr="00B31AF1" w:rsidRDefault="00DA0430" w:rsidP="00427C9F">
      <w:pPr>
        <w:spacing w:before="2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Královéhradecký kraj</w:t>
      </w:r>
    </w:p>
    <w:p w:rsidR="00105AD7" w:rsidRPr="00B31AF1" w:rsidRDefault="00DA0430" w:rsidP="00427C9F">
      <w:pPr>
        <w:spacing w:before="2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Pivovarské náměstí 1245</w:t>
      </w:r>
      <w:r w:rsidR="00427C9F" w:rsidRPr="00B31AF1">
        <w:rPr>
          <w:rFonts w:ascii="Arial Narrow" w:hAnsi="Arial Narrow"/>
        </w:rPr>
        <w:t>/2</w:t>
      </w:r>
      <w:r w:rsidRPr="00B31AF1">
        <w:rPr>
          <w:rFonts w:ascii="Arial Narrow" w:hAnsi="Arial Narrow"/>
        </w:rPr>
        <w:t>, 500 03 Hradec Králové</w:t>
      </w:r>
    </w:p>
    <w:p w:rsidR="003447A8" w:rsidRPr="00B31AF1" w:rsidRDefault="003447A8" w:rsidP="00427C9F">
      <w:pPr>
        <w:spacing w:before="2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IČO: </w:t>
      </w:r>
      <w:r w:rsidR="00DA0430" w:rsidRPr="00B31AF1">
        <w:rPr>
          <w:rFonts w:ascii="Arial Narrow" w:hAnsi="Arial Narrow"/>
        </w:rPr>
        <w:t>70889546</w:t>
      </w:r>
    </w:p>
    <w:p w:rsidR="00D37F7B" w:rsidRPr="00B31AF1" w:rsidRDefault="00105AD7" w:rsidP="00427C9F">
      <w:pPr>
        <w:pStyle w:val="Default"/>
        <w:spacing w:before="18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Údaje o zpracovateli projektové dokumentace</w:t>
      </w:r>
    </w:p>
    <w:p w:rsidR="00D37F7B" w:rsidRPr="00B31AF1" w:rsidRDefault="00D37F7B" w:rsidP="00427C9F">
      <w:pPr>
        <w:spacing w:before="2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ATELIER H1 &amp; ATELIER HÁJEK s.r.o.</w:t>
      </w:r>
    </w:p>
    <w:p w:rsidR="00D37F7B" w:rsidRPr="00B31AF1" w:rsidRDefault="00D37F7B" w:rsidP="00427C9F">
      <w:pPr>
        <w:spacing w:before="2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Jižní 870/2, 500 03 Hradec Králové</w:t>
      </w:r>
    </w:p>
    <w:p w:rsidR="00D37F7B" w:rsidRPr="00B31AF1" w:rsidRDefault="00D37F7B" w:rsidP="00427C9F">
      <w:pPr>
        <w:spacing w:before="20"/>
        <w:ind w:firstLine="357"/>
        <w:jc w:val="both"/>
        <w:rPr>
          <w:rFonts w:ascii="Arial Narrow" w:hAnsi="Arial Narrow" w:cs="Arial"/>
        </w:rPr>
      </w:pPr>
      <w:r w:rsidRPr="00B31AF1">
        <w:rPr>
          <w:rFonts w:ascii="Arial Narrow" w:hAnsi="Arial Narrow"/>
        </w:rPr>
        <w:t>IČO: 64792374</w:t>
      </w:r>
    </w:p>
    <w:p w:rsidR="00D37F7B" w:rsidRPr="00B31AF1" w:rsidRDefault="00D37F7B" w:rsidP="00427C9F">
      <w:pPr>
        <w:ind w:firstLine="357"/>
        <w:jc w:val="both"/>
        <w:rPr>
          <w:rFonts w:ascii="Arial Narrow" w:hAnsi="Arial Narrow"/>
        </w:rPr>
      </w:pPr>
    </w:p>
    <w:p w:rsidR="00D37F7B" w:rsidRPr="00B31AF1" w:rsidRDefault="00D37F7B" w:rsidP="00427C9F">
      <w:pPr>
        <w:spacing w:before="60"/>
        <w:ind w:firstLine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In</w:t>
      </w:r>
      <w:r w:rsidR="00427C9F" w:rsidRPr="00B31AF1">
        <w:rPr>
          <w:rFonts w:ascii="Arial Narrow" w:hAnsi="Arial Narrow"/>
        </w:rPr>
        <w:t xml:space="preserve">g. Jiří Hájek </w:t>
      </w:r>
      <w:r w:rsidR="00427C9F" w:rsidRPr="00B31AF1">
        <w:rPr>
          <w:rFonts w:ascii="Arial Narrow" w:hAnsi="Arial Narrow"/>
        </w:rPr>
        <w:tab/>
      </w:r>
      <w:r w:rsidR="00427C9F" w:rsidRPr="00B31AF1">
        <w:rPr>
          <w:rFonts w:ascii="Arial Narrow" w:hAnsi="Arial Narrow"/>
        </w:rPr>
        <w:tab/>
        <w:t>ČKAIT – 0601767</w:t>
      </w:r>
    </w:p>
    <w:p w:rsidR="00D37F7B" w:rsidRPr="00B31AF1" w:rsidRDefault="00D37F7B" w:rsidP="00427C9F">
      <w:pPr>
        <w:ind w:firstLine="357"/>
        <w:jc w:val="both"/>
        <w:rPr>
          <w:rFonts w:ascii="Arial Narrow" w:hAnsi="Arial Narrow"/>
          <w:highlight w:val="yellow"/>
        </w:rPr>
      </w:pPr>
      <w:r w:rsidRPr="00B31AF1">
        <w:rPr>
          <w:rFonts w:ascii="Arial Narrow" w:hAnsi="Arial Narrow"/>
        </w:rPr>
        <w:t>Autorizovaný inženýr pro pozemní stavby (IP00)</w:t>
      </w:r>
    </w:p>
    <w:p w:rsidR="0057368F" w:rsidRPr="00B31AF1" w:rsidRDefault="0057368F" w:rsidP="00427C9F">
      <w:pPr>
        <w:ind w:firstLine="357"/>
        <w:jc w:val="both"/>
        <w:rPr>
          <w:rFonts w:ascii="Arial Narrow" w:hAnsi="Arial Narrow"/>
          <w:highlight w:val="yellow"/>
        </w:rPr>
      </w:pPr>
    </w:p>
    <w:p w:rsidR="000920F5" w:rsidRPr="00B31AF1" w:rsidRDefault="000920F5" w:rsidP="000920F5">
      <w:pPr>
        <w:pStyle w:val="Odstavecseseznamem"/>
        <w:tabs>
          <w:tab w:val="left" w:pos="5103"/>
        </w:tabs>
        <w:spacing w:before="60"/>
        <w:ind w:left="2410" w:hanging="2053"/>
        <w:contextualSpacing w:val="0"/>
        <w:rPr>
          <w:rFonts w:ascii="Arial Narrow" w:hAnsi="Arial Narrow"/>
        </w:rPr>
      </w:pPr>
      <w:r w:rsidRPr="00B31AF1">
        <w:rPr>
          <w:rFonts w:ascii="Arial Narrow" w:hAnsi="Arial Narrow"/>
        </w:rPr>
        <w:t>Požární ochrana:</w:t>
      </w:r>
      <w:r w:rsidRPr="00B31AF1">
        <w:rPr>
          <w:rFonts w:ascii="Arial Narrow" w:hAnsi="Arial Narrow"/>
        </w:rPr>
        <w:tab/>
        <w:t>Ing. Ludmila Rejsková</w:t>
      </w:r>
      <w:r w:rsidRPr="00B31AF1">
        <w:rPr>
          <w:rFonts w:ascii="Arial Narrow" w:hAnsi="Arial Narrow"/>
        </w:rPr>
        <w:tab/>
        <w:t>ČKAIT – 0600315</w:t>
      </w:r>
    </w:p>
    <w:p w:rsidR="000920F5" w:rsidRPr="00B31AF1" w:rsidRDefault="000920F5" w:rsidP="000920F5">
      <w:pPr>
        <w:tabs>
          <w:tab w:val="left" w:pos="5103"/>
        </w:tabs>
        <w:ind w:left="2410" w:hanging="2053"/>
        <w:rPr>
          <w:rFonts w:ascii="Arial Narrow" w:hAnsi="Arial Narrow"/>
        </w:rPr>
      </w:pPr>
      <w:r w:rsidRPr="00B31AF1">
        <w:rPr>
          <w:rFonts w:ascii="Arial Narrow" w:hAnsi="Arial Narrow"/>
        </w:rPr>
        <w:tab/>
        <w:t>Autorizovaný inženýr pro požární bezpečnost staveb (IH00) a pro pozemní stavby (IP00)</w:t>
      </w:r>
    </w:p>
    <w:p w:rsidR="0057368F" w:rsidRPr="00B31AF1" w:rsidRDefault="0039339B" w:rsidP="009E67F0">
      <w:pPr>
        <w:tabs>
          <w:tab w:val="left" w:pos="2410"/>
          <w:tab w:val="left" w:pos="5103"/>
        </w:tabs>
        <w:spacing w:before="60"/>
        <w:ind w:left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Silnoproudé </w:t>
      </w:r>
      <w:r w:rsidR="0057368F" w:rsidRPr="00B31AF1">
        <w:rPr>
          <w:rFonts w:ascii="Arial Narrow" w:hAnsi="Arial Narrow"/>
        </w:rPr>
        <w:t>rozvody:</w:t>
      </w:r>
      <w:r w:rsidR="0057368F" w:rsidRPr="00B31AF1">
        <w:rPr>
          <w:rFonts w:ascii="Arial Narrow" w:hAnsi="Arial Narrow"/>
        </w:rPr>
        <w:tab/>
        <w:t>Václav Sháněl</w:t>
      </w:r>
      <w:r w:rsidR="0057368F" w:rsidRPr="00B31AF1">
        <w:rPr>
          <w:rFonts w:ascii="Arial Narrow" w:hAnsi="Arial Narrow"/>
        </w:rPr>
        <w:tab/>
        <w:t>ČKAIT - 0600609</w:t>
      </w:r>
    </w:p>
    <w:p w:rsidR="0057368F" w:rsidRPr="00B31AF1" w:rsidRDefault="0057368F" w:rsidP="00427C9F">
      <w:pPr>
        <w:ind w:left="241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Autorizovaný technik pro techniku prostředí staveb, specializace elektrotechnická zařízení (TE03)</w:t>
      </w:r>
    </w:p>
    <w:p w:rsidR="00105AD7" w:rsidRPr="00B31AF1" w:rsidRDefault="00105AD7" w:rsidP="00427C9F">
      <w:pPr>
        <w:pStyle w:val="Default"/>
        <w:spacing w:before="480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  <w:sz w:val="26"/>
        </w:rPr>
        <w:t>Účel objektu a popis rozsahu prací</w:t>
      </w:r>
    </w:p>
    <w:p w:rsidR="00F36BC5" w:rsidRPr="00B31AF1" w:rsidRDefault="002A5B82" w:rsidP="00427C9F">
      <w:pPr>
        <w:pStyle w:val="Zkladntext"/>
        <w:spacing w:after="0"/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Projektová dokumentace </w:t>
      </w:r>
      <w:r w:rsidR="008E377A" w:rsidRPr="00B31AF1">
        <w:rPr>
          <w:rFonts w:ascii="Arial Narrow" w:hAnsi="Arial Narrow"/>
        </w:rPr>
        <w:t>řeší umístění náhradního zdroje elektrické energie budovy Zdravotnické záchranné služby Temný Důl</w:t>
      </w:r>
      <w:r w:rsidR="0057368F" w:rsidRPr="00B31AF1">
        <w:rPr>
          <w:rFonts w:ascii="Arial Narrow" w:hAnsi="Arial Narrow"/>
        </w:rPr>
        <w:t>.</w:t>
      </w:r>
    </w:p>
    <w:p w:rsidR="0063746C" w:rsidRPr="00B31AF1" w:rsidRDefault="0063746C" w:rsidP="00427C9F">
      <w:pPr>
        <w:pStyle w:val="Default"/>
        <w:spacing w:before="360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  <w:sz w:val="26"/>
        </w:rPr>
        <w:t>Architektonické, výtvarné, materiálové, dispoziční a provozní řešení</w:t>
      </w:r>
    </w:p>
    <w:p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Architektonické a výtvarné řešení</w:t>
      </w:r>
    </w:p>
    <w:p w:rsidR="000120B7" w:rsidRPr="00B31AF1" w:rsidRDefault="000120B7" w:rsidP="00427C9F">
      <w:pPr>
        <w:pStyle w:val="Default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Stavba se skládá z náhradního zdroje elektrické energie a silnoproudých rozvodů, spojujících umísťovaný zdroj a budovu ZZS Temný Důl.</w:t>
      </w:r>
    </w:p>
    <w:p w:rsidR="0063746C" w:rsidRPr="00B31AF1" w:rsidRDefault="00427C9F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Dispoziční řešení</w:t>
      </w:r>
    </w:p>
    <w:p w:rsidR="0063746C" w:rsidRPr="00B31AF1" w:rsidRDefault="00BE0D05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Náhradní zdroj bude umístěn ve východní části pozemku, ve vzdálenosti </w:t>
      </w:r>
      <w:r w:rsidR="00596698" w:rsidRPr="00B31AF1">
        <w:rPr>
          <w:rFonts w:ascii="Arial Narrow" w:hAnsi="Arial Narrow"/>
        </w:rPr>
        <w:t>2</w:t>
      </w:r>
      <w:r w:rsidRPr="00B31AF1">
        <w:rPr>
          <w:rFonts w:ascii="Arial Narrow" w:hAnsi="Arial Narrow"/>
        </w:rPr>
        <w:t>,</w:t>
      </w:r>
      <w:r w:rsidR="00596698" w:rsidRPr="00B31AF1">
        <w:rPr>
          <w:rFonts w:ascii="Arial Narrow" w:hAnsi="Arial Narrow"/>
        </w:rPr>
        <w:t>1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m od budovy.</w:t>
      </w:r>
    </w:p>
    <w:p w:rsidR="0063746C" w:rsidRPr="00B31AF1" w:rsidRDefault="00427C9F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Provozní řešení</w:t>
      </w:r>
    </w:p>
    <w:p w:rsidR="0063746C" w:rsidRPr="00B31AF1" w:rsidRDefault="00111DF6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Jedná se o dieselový náhradní zdroj elektrické energie, který bude spouštěn v případě výpadku elektrické sítě.</w:t>
      </w:r>
    </w:p>
    <w:p w:rsidR="0063746C" w:rsidRPr="00B31AF1" w:rsidRDefault="0063746C" w:rsidP="00427C9F">
      <w:pPr>
        <w:pStyle w:val="Default"/>
        <w:spacing w:before="360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  <w:sz w:val="26"/>
        </w:rPr>
        <w:t>Bezbariérové užívání stavby</w:t>
      </w:r>
    </w:p>
    <w:p w:rsidR="0063746C" w:rsidRPr="00B31AF1" w:rsidRDefault="0063746C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Stavba není řešena z hlediska bezbariérového užívání.</w:t>
      </w:r>
    </w:p>
    <w:p w:rsidR="0063746C" w:rsidRPr="00B31AF1" w:rsidRDefault="0063746C" w:rsidP="00427C9F">
      <w:pPr>
        <w:pStyle w:val="Default"/>
        <w:spacing w:before="360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  <w:sz w:val="26"/>
        </w:rPr>
        <w:lastRenderedPageBreak/>
        <w:t>Konstrukční a stavebně technické řešení a technické vlastnosti stavby</w:t>
      </w:r>
    </w:p>
    <w:p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Základy</w:t>
      </w:r>
    </w:p>
    <w:p w:rsidR="0063746C" w:rsidRPr="00B31AF1" w:rsidRDefault="0063746C" w:rsidP="00427C9F">
      <w:pPr>
        <w:ind w:firstLine="425"/>
        <w:jc w:val="both"/>
        <w:rPr>
          <w:rFonts w:ascii="Arial Narrow" w:hAnsi="Arial Narrow"/>
          <w:highlight w:val="yellow"/>
        </w:rPr>
      </w:pPr>
      <w:r w:rsidRPr="00B31AF1">
        <w:rPr>
          <w:rFonts w:ascii="Arial Narrow" w:hAnsi="Arial Narrow"/>
        </w:rPr>
        <w:t>Založení je navrženo na základovém bloku</w:t>
      </w:r>
      <w:r w:rsidR="00697832" w:rsidRPr="00B31AF1">
        <w:rPr>
          <w:rFonts w:ascii="Arial Narrow" w:hAnsi="Arial Narrow"/>
        </w:rPr>
        <w:t xml:space="preserve"> o půdorysných rozměrech 2,1x1,2 m</w:t>
      </w:r>
      <w:r w:rsidRPr="00B31AF1">
        <w:rPr>
          <w:rFonts w:ascii="Arial Narrow" w:hAnsi="Arial Narrow"/>
        </w:rPr>
        <w:t>. Hloubka základů bude 1,</w:t>
      </w:r>
      <w:r w:rsidR="00697832" w:rsidRPr="00B31AF1">
        <w:rPr>
          <w:rFonts w:ascii="Arial Narrow" w:hAnsi="Arial Narrow"/>
        </w:rPr>
        <w:t>0</w:t>
      </w:r>
      <w:r w:rsidRPr="00B31AF1">
        <w:rPr>
          <w:rFonts w:ascii="Arial Narrow" w:hAnsi="Arial Narrow"/>
        </w:rPr>
        <w:t xml:space="preserve"> m pod úrovní terénu. Pro založení stanice bude použit beton C25/30 XC4, XF3.</w:t>
      </w:r>
    </w:p>
    <w:p w:rsidR="00FE7D03" w:rsidRPr="00B31AF1" w:rsidRDefault="00FE7D03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Náhradní zdroj</w:t>
      </w:r>
    </w:p>
    <w:p w:rsidR="00FE7D03" w:rsidRPr="00B31AF1" w:rsidRDefault="00FE7D03" w:rsidP="00427C9F">
      <w:pPr>
        <w:pStyle w:val="Default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Náhradní zdroj je navržen typu GP-B 90 s výkonem 90 kVA. Náhradní zdroj bude v provedení do venkovního prostředí, osazen bude na betonové desce. Pro připojovací kabely s chráničkami Kopoflex bude v desce ponechána svislá drážka.</w:t>
      </w:r>
      <w:r w:rsidR="0077507F" w:rsidRPr="00B31AF1">
        <w:rPr>
          <w:rFonts w:ascii="Arial Narrow" w:hAnsi="Arial Narrow"/>
        </w:rPr>
        <w:t xml:space="preserve"> Jedná se o nouzový zdroj, který bude v provozu pouze v případě výpadku elektrické sítě. Náhradní zdroj je opatřen havarijní jímkou, která pojme 100 % provozních kapalin.</w:t>
      </w:r>
    </w:p>
    <w:p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</w:rPr>
      </w:pPr>
      <w:r w:rsidRPr="00B31AF1">
        <w:rPr>
          <w:rFonts w:ascii="Arial Narrow" w:hAnsi="Arial Narrow"/>
          <w:b/>
          <w:bCs/>
          <w:i/>
          <w:iCs/>
        </w:rPr>
        <w:t>Elektrorozvody</w:t>
      </w:r>
    </w:p>
    <w:p w:rsidR="0001456A" w:rsidRPr="00B31AF1" w:rsidRDefault="0001456A" w:rsidP="00427C9F">
      <w:pPr>
        <w:pStyle w:val="Default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Stávající přívodní vedení CYKY J 4x25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mm</w:t>
      </w:r>
      <w:r w:rsidRPr="00B31AF1">
        <w:rPr>
          <w:rFonts w:ascii="Arial Narrow" w:hAnsi="Arial Narrow"/>
          <w:vertAlign w:val="superscript"/>
        </w:rPr>
        <w:t>2</w:t>
      </w:r>
      <w:r w:rsidRPr="00B31AF1">
        <w:rPr>
          <w:rFonts w:ascii="Arial Narrow" w:hAnsi="Arial Narrow"/>
        </w:rPr>
        <w:t xml:space="preserve"> ukončené v rozvaděči RH1 bude odpojeno a přepojeno do přechodové skříně K 7042 osazené na boční zdi v blízkosti rozvaděče. Z přechodové skříně bude veden kabelový vývod CYKY J 4x25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mm</w:t>
      </w:r>
      <w:r w:rsidRPr="00B31AF1">
        <w:rPr>
          <w:rFonts w:ascii="Arial Narrow" w:hAnsi="Arial Narrow"/>
          <w:vertAlign w:val="superscript"/>
        </w:rPr>
        <w:t>2</w:t>
      </w:r>
      <w:r w:rsidRPr="00B31AF1">
        <w:rPr>
          <w:rFonts w:ascii="Arial Narrow" w:hAnsi="Arial Narrow"/>
        </w:rPr>
        <w:t xml:space="preserve">, který se ukončí opět v přechodové skříni shodného typu umístěné u boční stěny náhradního zdroje. </w:t>
      </w:r>
      <w:r w:rsidR="00B31AF1" w:rsidRPr="00B31AF1">
        <w:rPr>
          <w:rFonts w:ascii="Arial Narrow" w:hAnsi="Arial Narrow"/>
        </w:rPr>
        <w:t>Z této skříně bude připojeno kabelem H07 RN –F J 4x25 mm</w:t>
      </w:r>
      <w:r w:rsidR="00B31AF1" w:rsidRPr="00B31AF1">
        <w:rPr>
          <w:rFonts w:ascii="Arial Narrow" w:hAnsi="Arial Narrow"/>
          <w:vertAlign w:val="superscript"/>
        </w:rPr>
        <w:t>2</w:t>
      </w:r>
      <w:r w:rsidR="00B31AF1" w:rsidRPr="00B31AF1">
        <w:rPr>
          <w:rFonts w:ascii="Arial Narrow" w:hAnsi="Arial Narrow"/>
        </w:rPr>
        <w:t xml:space="preserve"> síťové napájení náhradního zdroje a shodným kabelem proveden zálohovaný vývod ukončený v samostatné skříni K 7042 umístěné vedle přechodové skříně přívodního kabelu. </w:t>
      </w:r>
      <w:r w:rsidRPr="00B31AF1">
        <w:rPr>
          <w:rFonts w:ascii="Arial Narrow" w:hAnsi="Arial Narrow"/>
        </w:rPr>
        <w:t>Z této skříně se kabelem CYKY J 4x25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mm</w:t>
      </w:r>
      <w:r w:rsidRPr="00B31AF1">
        <w:rPr>
          <w:rFonts w:ascii="Arial Narrow" w:hAnsi="Arial Narrow"/>
          <w:vertAlign w:val="superscript"/>
        </w:rPr>
        <w:t>2</w:t>
      </w:r>
      <w:r w:rsidRPr="00B31AF1">
        <w:rPr>
          <w:rFonts w:ascii="Arial Narrow" w:hAnsi="Arial Narrow"/>
        </w:rPr>
        <w:t xml:space="preserve"> vedeném v souběhu s přívodním kabelem NZ připojí hlavní vypínač 63A rozvaděče RH1.</w:t>
      </w:r>
    </w:p>
    <w:p w:rsidR="0063746C" w:rsidRPr="00B31AF1" w:rsidRDefault="0001456A" w:rsidP="00427C9F">
      <w:pPr>
        <w:pStyle w:val="Default"/>
        <w:ind w:firstLine="36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Vedení – z technické místnosti 109 se vyvrtají 2 prostupy pro přívodní a zálohovaný kabel NZ. Do vývrtů budou vloženy chráničky Kopodur. Chráničky a kabely v chráničkách budou utěsněny silikonovým tmelem. Kabely v trase se uloží v rostlé zemině v pískovém loži v hl. 0,7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m</w:t>
      </w:r>
      <w:r w:rsidR="00427C9F" w:rsidRPr="00B31AF1">
        <w:rPr>
          <w:rFonts w:ascii="Arial Narrow" w:hAnsi="Arial Narrow"/>
        </w:rPr>
        <w:t xml:space="preserve">. </w:t>
      </w:r>
      <w:r w:rsidRPr="00B31AF1">
        <w:rPr>
          <w:rFonts w:ascii="Arial Narrow" w:hAnsi="Arial Narrow"/>
        </w:rPr>
        <w:t xml:space="preserve"> Asi 30</w:t>
      </w:r>
      <w:r w:rsidR="00427C9F" w:rsidRPr="00B31AF1">
        <w:rPr>
          <w:rFonts w:ascii="Arial Narrow" w:hAnsi="Arial Narrow"/>
        </w:rPr>
        <w:t> </w:t>
      </w:r>
      <w:r w:rsidRPr="00B31AF1">
        <w:rPr>
          <w:rFonts w:ascii="Arial Narrow" w:hAnsi="Arial Narrow"/>
        </w:rPr>
        <w:t>cm nad kabely bude založena výstražná červená fólie.</w:t>
      </w:r>
    </w:p>
    <w:p w:rsidR="0063746C" w:rsidRPr="00B31AF1" w:rsidRDefault="0063746C" w:rsidP="00427C9F">
      <w:pPr>
        <w:pStyle w:val="Default"/>
        <w:spacing w:before="360"/>
        <w:jc w:val="both"/>
        <w:rPr>
          <w:rFonts w:ascii="Arial Narrow" w:hAnsi="Arial Narrow"/>
          <w:color w:val="auto"/>
        </w:rPr>
      </w:pPr>
      <w:r w:rsidRPr="00B31AF1">
        <w:rPr>
          <w:rFonts w:ascii="Arial Narrow" w:hAnsi="Arial Narrow"/>
          <w:b/>
          <w:bCs/>
          <w:color w:val="auto"/>
          <w:sz w:val="26"/>
        </w:rPr>
        <w:t>Stavební fyzika</w:t>
      </w:r>
      <w:r w:rsidRPr="00B31AF1">
        <w:rPr>
          <w:rFonts w:ascii="Arial Narrow" w:hAnsi="Arial Narrow"/>
          <w:b/>
          <w:bCs/>
          <w:color w:val="auto"/>
        </w:rPr>
        <w:t xml:space="preserve"> – </w:t>
      </w:r>
      <w:r w:rsidRPr="00B31AF1">
        <w:rPr>
          <w:rFonts w:ascii="Arial Narrow" w:hAnsi="Arial Narrow"/>
          <w:color w:val="auto"/>
        </w:rPr>
        <w:t>tepelná technika, osvětlení, oslunění, akustika / hluk, vibrace – popis řešení</w:t>
      </w:r>
    </w:p>
    <w:p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B31AF1">
        <w:rPr>
          <w:rFonts w:ascii="Arial Narrow" w:hAnsi="Arial Narrow"/>
          <w:b/>
          <w:bCs/>
          <w:i/>
          <w:iCs/>
          <w:color w:val="auto"/>
        </w:rPr>
        <w:t>Tepelná technika</w:t>
      </w:r>
    </w:p>
    <w:p w:rsidR="0063746C" w:rsidRPr="00B31AF1" w:rsidRDefault="0063746C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Vzhledem k účelu stavby je stavba řešena jako nevytápěná, bez požadavků na tepelně technické vlastnosti.</w:t>
      </w:r>
    </w:p>
    <w:p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B31AF1">
        <w:rPr>
          <w:rFonts w:ascii="Arial Narrow" w:hAnsi="Arial Narrow"/>
          <w:b/>
          <w:bCs/>
          <w:i/>
          <w:iCs/>
          <w:color w:val="auto"/>
        </w:rPr>
        <w:t>Osvětlení a oslunění</w:t>
      </w:r>
    </w:p>
    <w:p w:rsidR="0063746C" w:rsidRPr="00B31AF1" w:rsidRDefault="0063746C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Prostor není trvalým pracovištěm a nejsou na něj tedy kladeny žádné požadavky na osvětlení přirozeným světlem.</w:t>
      </w:r>
    </w:p>
    <w:p w:rsidR="0063746C" w:rsidRPr="00B31AF1" w:rsidRDefault="0063746C" w:rsidP="00427C9F">
      <w:pPr>
        <w:pStyle w:val="Default"/>
        <w:spacing w:before="10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B31AF1">
        <w:rPr>
          <w:rFonts w:ascii="Arial Narrow" w:hAnsi="Arial Narrow"/>
          <w:b/>
          <w:bCs/>
          <w:i/>
          <w:iCs/>
          <w:color w:val="auto"/>
        </w:rPr>
        <w:t>Akustika / hluk</w:t>
      </w:r>
    </w:p>
    <w:p w:rsidR="0077507F" w:rsidRPr="00B31AF1" w:rsidRDefault="0063746C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Nejedná se o vnitřní prostory, akustika není řešena.</w:t>
      </w:r>
      <w:r w:rsidR="0077507F" w:rsidRPr="00B31AF1">
        <w:rPr>
          <w:rFonts w:ascii="Arial Narrow" w:hAnsi="Arial Narrow"/>
        </w:rPr>
        <w:t xml:space="preserve"> </w:t>
      </w:r>
    </w:p>
    <w:p w:rsidR="0063746C" w:rsidRPr="00B31AF1" w:rsidRDefault="0077507F" w:rsidP="00427C9F">
      <w:pPr>
        <w:ind w:firstLine="425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Nejedná se o zařízení s trvalým provozem, ale pouze o nouzový zdroj v případě výpadku elektrického proudu. Z tohoto důvodu hluk není řešen.</w:t>
      </w:r>
    </w:p>
    <w:p w:rsidR="0063746C" w:rsidRPr="00B31AF1" w:rsidRDefault="00427C9F" w:rsidP="00427C9F">
      <w:pPr>
        <w:pStyle w:val="Default"/>
        <w:spacing w:before="360" w:line="276" w:lineRule="auto"/>
        <w:jc w:val="both"/>
        <w:rPr>
          <w:rFonts w:ascii="Arial Narrow" w:hAnsi="Arial Narrow"/>
          <w:b/>
          <w:bCs/>
          <w:sz w:val="26"/>
        </w:rPr>
      </w:pPr>
      <w:r w:rsidRPr="00B31AF1">
        <w:rPr>
          <w:rFonts w:ascii="Arial Narrow" w:hAnsi="Arial Narrow"/>
          <w:b/>
          <w:bCs/>
          <w:sz w:val="26"/>
        </w:rPr>
        <w:t>Výpis použitých norem</w:t>
      </w:r>
    </w:p>
    <w:p w:rsidR="0063746C" w:rsidRPr="00B31AF1" w:rsidRDefault="00427C9F" w:rsidP="00427C9F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  <w:i/>
          <w:iCs/>
        </w:rPr>
      </w:pPr>
      <w:r w:rsidRPr="00B31AF1">
        <w:rPr>
          <w:rFonts w:ascii="Arial Narrow" w:hAnsi="Arial Narrow"/>
          <w:i/>
          <w:iCs/>
        </w:rPr>
        <w:t>P</w:t>
      </w:r>
      <w:r w:rsidR="0063746C" w:rsidRPr="00B31AF1">
        <w:rPr>
          <w:rFonts w:ascii="Arial Narrow" w:hAnsi="Arial Narrow"/>
          <w:i/>
          <w:iCs/>
        </w:rPr>
        <w:t>rojektová dokumentace byla zpracována v souladu s</w:t>
      </w:r>
      <w:r w:rsidRPr="00B31AF1">
        <w:rPr>
          <w:rFonts w:ascii="Arial Narrow" w:hAnsi="Arial Narrow"/>
          <w:i/>
          <w:iCs/>
        </w:rPr>
        <w:t>:</w:t>
      </w:r>
    </w:p>
    <w:p w:rsidR="0063746C" w:rsidRPr="00B31AF1" w:rsidRDefault="00427C9F" w:rsidP="00427C9F">
      <w:pPr>
        <w:numPr>
          <w:ilvl w:val="0"/>
          <w:numId w:val="19"/>
        </w:numPr>
        <w:tabs>
          <w:tab w:val="clear" w:pos="720"/>
        </w:tabs>
        <w:ind w:left="357" w:hanging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 xml:space="preserve">vyhláška č. </w:t>
      </w:r>
      <w:r w:rsidR="0063746C" w:rsidRPr="00B31AF1">
        <w:rPr>
          <w:rFonts w:ascii="Arial Narrow" w:hAnsi="Arial Narrow"/>
        </w:rPr>
        <w:t>268/2009 Sb. o technických požadavcích na výstavbu</w:t>
      </w:r>
      <w:r w:rsidRPr="00B31AF1">
        <w:rPr>
          <w:rFonts w:ascii="Arial Narrow" w:hAnsi="Arial Narrow"/>
        </w:rPr>
        <w:t>,</w:t>
      </w:r>
    </w:p>
    <w:p w:rsidR="0063746C" w:rsidRPr="00B31AF1" w:rsidRDefault="00427C9F" w:rsidP="00427C9F">
      <w:pPr>
        <w:numPr>
          <w:ilvl w:val="0"/>
          <w:numId w:val="19"/>
        </w:numPr>
        <w:tabs>
          <w:tab w:val="clear" w:pos="720"/>
        </w:tabs>
        <w:ind w:left="357" w:hanging="357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vyhláška č. </w:t>
      </w:r>
      <w:r w:rsidR="0063746C" w:rsidRPr="00B31AF1">
        <w:rPr>
          <w:rFonts w:ascii="Arial Narrow" w:hAnsi="Arial Narrow"/>
        </w:rPr>
        <w:t>398/2009 Sb. o obecných technických požadavcích zabezpečujících bezbariérové užívání staveb.</w:t>
      </w:r>
    </w:p>
    <w:p w:rsidR="0063746C" w:rsidRPr="00B31AF1" w:rsidRDefault="0063746C" w:rsidP="00427C9F">
      <w:pPr>
        <w:pStyle w:val="Zkladntextodsazen"/>
        <w:spacing w:before="120"/>
        <w:ind w:firstLine="0"/>
        <w:jc w:val="both"/>
        <w:rPr>
          <w:rFonts w:ascii="Arial Narrow" w:hAnsi="Arial Narrow"/>
        </w:rPr>
      </w:pPr>
      <w:r w:rsidRPr="00B31AF1">
        <w:rPr>
          <w:rFonts w:ascii="Arial Narrow" w:hAnsi="Arial Narrow"/>
        </w:rPr>
        <w:t>Veškeré konstrukce a zabudované materiály budou během výstavby doloženy platnými certifikáty.</w:t>
      </w:r>
    </w:p>
    <w:sectPr w:rsidR="0063746C" w:rsidRPr="00B31AF1" w:rsidSect="0095585D"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A690E2"/>
    <w:multiLevelType w:val="hybridMultilevel"/>
    <w:tmpl w:val="E387B6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C2CFFE8"/>
    <w:multiLevelType w:val="hybridMultilevel"/>
    <w:tmpl w:val="04BFB7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AEB5809"/>
    <w:multiLevelType w:val="hybridMultilevel"/>
    <w:tmpl w:val="1CEA8E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C5A2D"/>
    <w:multiLevelType w:val="hybridMultilevel"/>
    <w:tmpl w:val="6D2A53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8103E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505AE"/>
    <w:multiLevelType w:val="hybridMultilevel"/>
    <w:tmpl w:val="454600FA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AB03281"/>
    <w:multiLevelType w:val="hybridMultilevel"/>
    <w:tmpl w:val="7280F9B8"/>
    <w:lvl w:ilvl="0" w:tplc="CD26DD6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F1622B"/>
    <w:multiLevelType w:val="hybridMultilevel"/>
    <w:tmpl w:val="E26E57C0"/>
    <w:lvl w:ilvl="0" w:tplc="F34EB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E11E7A"/>
    <w:multiLevelType w:val="hybridMultilevel"/>
    <w:tmpl w:val="DADA9C9A"/>
    <w:lvl w:ilvl="0" w:tplc="22B4B300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3700A07"/>
    <w:multiLevelType w:val="hybridMultilevel"/>
    <w:tmpl w:val="B2A88A38"/>
    <w:lvl w:ilvl="0" w:tplc="128844CE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>
    <w:nsid w:val="6D4B256C"/>
    <w:multiLevelType w:val="hybridMultilevel"/>
    <w:tmpl w:val="BE8CAED2"/>
    <w:lvl w:ilvl="0" w:tplc="22B4B300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1D0FC9"/>
    <w:multiLevelType w:val="hybridMultilevel"/>
    <w:tmpl w:val="83BAEE4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02E4708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2"/>
  </w:num>
  <w:num w:numId="13">
    <w:abstractNumId w:val="6"/>
  </w:num>
  <w:num w:numId="14">
    <w:abstractNumId w:val="5"/>
  </w:num>
  <w:num w:numId="15">
    <w:abstractNumId w:val="3"/>
  </w:num>
  <w:num w:numId="16">
    <w:abstractNumId w:val="10"/>
  </w:num>
  <w:num w:numId="17">
    <w:abstractNumId w:val="8"/>
  </w:num>
  <w:num w:numId="18">
    <w:abstractNumId w:val="11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compat/>
  <w:rsids>
    <w:rsidRoot w:val="0095585D"/>
    <w:rsid w:val="000013FB"/>
    <w:rsid w:val="000120B7"/>
    <w:rsid w:val="0001456A"/>
    <w:rsid w:val="000201C6"/>
    <w:rsid w:val="00037EFF"/>
    <w:rsid w:val="00042981"/>
    <w:rsid w:val="00052690"/>
    <w:rsid w:val="0007674E"/>
    <w:rsid w:val="00084358"/>
    <w:rsid w:val="00087A32"/>
    <w:rsid w:val="00090DF4"/>
    <w:rsid w:val="000920F5"/>
    <w:rsid w:val="00095F4C"/>
    <w:rsid w:val="000A4756"/>
    <w:rsid w:val="000A53AD"/>
    <w:rsid w:val="000B2AE9"/>
    <w:rsid w:val="000B3EB8"/>
    <w:rsid w:val="000B6B19"/>
    <w:rsid w:val="000D1124"/>
    <w:rsid w:val="000D6796"/>
    <w:rsid w:val="000F1CB6"/>
    <w:rsid w:val="00105AD7"/>
    <w:rsid w:val="0011024F"/>
    <w:rsid w:val="00111951"/>
    <w:rsid w:val="00111DF6"/>
    <w:rsid w:val="00112076"/>
    <w:rsid w:val="00114E21"/>
    <w:rsid w:val="001347D8"/>
    <w:rsid w:val="00166D47"/>
    <w:rsid w:val="001705C3"/>
    <w:rsid w:val="0017281E"/>
    <w:rsid w:val="00172F50"/>
    <w:rsid w:val="001B4CB6"/>
    <w:rsid w:val="001D0D2F"/>
    <w:rsid w:val="001D7A39"/>
    <w:rsid w:val="001E0E40"/>
    <w:rsid w:val="001E6725"/>
    <w:rsid w:val="001F0501"/>
    <w:rsid w:val="001F2583"/>
    <w:rsid w:val="00221F86"/>
    <w:rsid w:val="00232943"/>
    <w:rsid w:val="002364BD"/>
    <w:rsid w:val="0024743D"/>
    <w:rsid w:val="00275F3A"/>
    <w:rsid w:val="00281C49"/>
    <w:rsid w:val="00285C16"/>
    <w:rsid w:val="00290824"/>
    <w:rsid w:val="00291E3A"/>
    <w:rsid w:val="00293928"/>
    <w:rsid w:val="002A13BC"/>
    <w:rsid w:val="002A3160"/>
    <w:rsid w:val="002A5B82"/>
    <w:rsid w:val="002B025B"/>
    <w:rsid w:val="002B7DCB"/>
    <w:rsid w:val="002F0E7F"/>
    <w:rsid w:val="003102A1"/>
    <w:rsid w:val="003179BC"/>
    <w:rsid w:val="0033604E"/>
    <w:rsid w:val="003372BB"/>
    <w:rsid w:val="0034259D"/>
    <w:rsid w:val="003447A8"/>
    <w:rsid w:val="003657CF"/>
    <w:rsid w:val="003674F6"/>
    <w:rsid w:val="00373087"/>
    <w:rsid w:val="0038342B"/>
    <w:rsid w:val="0039339B"/>
    <w:rsid w:val="0039785D"/>
    <w:rsid w:val="003C1AF6"/>
    <w:rsid w:val="003C6D4B"/>
    <w:rsid w:val="003D0719"/>
    <w:rsid w:val="003D0B02"/>
    <w:rsid w:val="003D27FB"/>
    <w:rsid w:val="003E01D3"/>
    <w:rsid w:val="003E2329"/>
    <w:rsid w:val="003E34CE"/>
    <w:rsid w:val="00417D78"/>
    <w:rsid w:val="00427C9F"/>
    <w:rsid w:val="004717E3"/>
    <w:rsid w:val="004734B1"/>
    <w:rsid w:val="004778D4"/>
    <w:rsid w:val="00487607"/>
    <w:rsid w:val="004920DC"/>
    <w:rsid w:val="004944B2"/>
    <w:rsid w:val="004C4D6D"/>
    <w:rsid w:val="004D42B6"/>
    <w:rsid w:val="004D79EF"/>
    <w:rsid w:val="004F2038"/>
    <w:rsid w:val="004F5293"/>
    <w:rsid w:val="00506817"/>
    <w:rsid w:val="00512E1D"/>
    <w:rsid w:val="005310A3"/>
    <w:rsid w:val="00564BC6"/>
    <w:rsid w:val="0057368F"/>
    <w:rsid w:val="00596042"/>
    <w:rsid w:val="00596698"/>
    <w:rsid w:val="005B5C5F"/>
    <w:rsid w:val="005C73A6"/>
    <w:rsid w:val="005D7A7B"/>
    <w:rsid w:val="005E582B"/>
    <w:rsid w:val="005F37D6"/>
    <w:rsid w:val="005F3A44"/>
    <w:rsid w:val="006044F4"/>
    <w:rsid w:val="006310AE"/>
    <w:rsid w:val="00631387"/>
    <w:rsid w:val="00632EE0"/>
    <w:rsid w:val="00634077"/>
    <w:rsid w:val="0063746C"/>
    <w:rsid w:val="0065072E"/>
    <w:rsid w:val="0065733E"/>
    <w:rsid w:val="00663E24"/>
    <w:rsid w:val="00670421"/>
    <w:rsid w:val="00692ACD"/>
    <w:rsid w:val="006954C6"/>
    <w:rsid w:val="00696129"/>
    <w:rsid w:val="00697832"/>
    <w:rsid w:val="006C3B74"/>
    <w:rsid w:val="006E7DC9"/>
    <w:rsid w:val="006F064E"/>
    <w:rsid w:val="00712C31"/>
    <w:rsid w:val="00744AFD"/>
    <w:rsid w:val="0076224B"/>
    <w:rsid w:val="00774EE4"/>
    <w:rsid w:val="0077507F"/>
    <w:rsid w:val="007A357E"/>
    <w:rsid w:val="007C2B4C"/>
    <w:rsid w:val="007D6ADF"/>
    <w:rsid w:val="007F6E8F"/>
    <w:rsid w:val="008110F2"/>
    <w:rsid w:val="00820E58"/>
    <w:rsid w:val="00846A17"/>
    <w:rsid w:val="00860773"/>
    <w:rsid w:val="00895862"/>
    <w:rsid w:val="008B1676"/>
    <w:rsid w:val="008D4A6B"/>
    <w:rsid w:val="008D5412"/>
    <w:rsid w:val="008E377A"/>
    <w:rsid w:val="008F42DF"/>
    <w:rsid w:val="00905945"/>
    <w:rsid w:val="00931760"/>
    <w:rsid w:val="00931A46"/>
    <w:rsid w:val="0093745E"/>
    <w:rsid w:val="0095585D"/>
    <w:rsid w:val="009701D0"/>
    <w:rsid w:val="0097532C"/>
    <w:rsid w:val="00986EB5"/>
    <w:rsid w:val="00992CA1"/>
    <w:rsid w:val="009A3DEA"/>
    <w:rsid w:val="009B5B07"/>
    <w:rsid w:val="009C11DF"/>
    <w:rsid w:val="009C3006"/>
    <w:rsid w:val="009E67F0"/>
    <w:rsid w:val="00A057DE"/>
    <w:rsid w:val="00A1025C"/>
    <w:rsid w:val="00A11A31"/>
    <w:rsid w:val="00A14F12"/>
    <w:rsid w:val="00A17AA8"/>
    <w:rsid w:val="00A24B5B"/>
    <w:rsid w:val="00A34002"/>
    <w:rsid w:val="00A654CB"/>
    <w:rsid w:val="00A675CD"/>
    <w:rsid w:val="00A80AEE"/>
    <w:rsid w:val="00A85FAF"/>
    <w:rsid w:val="00A9257F"/>
    <w:rsid w:val="00AA19F7"/>
    <w:rsid w:val="00AA6FD1"/>
    <w:rsid w:val="00AC0C0D"/>
    <w:rsid w:val="00AF1A95"/>
    <w:rsid w:val="00B00092"/>
    <w:rsid w:val="00B0429E"/>
    <w:rsid w:val="00B31AF1"/>
    <w:rsid w:val="00B360D7"/>
    <w:rsid w:val="00B45590"/>
    <w:rsid w:val="00B55E30"/>
    <w:rsid w:val="00B75CDA"/>
    <w:rsid w:val="00B9161C"/>
    <w:rsid w:val="00B964F7"/>
    <w:rsid w:val="00BA457D"/>
    <w:rsid w:val="00BA631E"/>
    <w:rsid w:val="00BC525F"/>
    <w:rsid w:val="00BE0D05"/>
    <w:rsid w:val="00C001D9"/>
    <w:rsid w:val="00C015A7"/>
    <w:rsid w:val="00C2011F"/>
    <w:rsid w:val="00C67A0B"/>
    <w:rsid w:val="00C71183"/>
    <w:rsid w:val="00CB6321"/>
    <w:rsid w:val="00CD35C5"/>
    <w:rsid w:val="00CD7369"/>
    <w:rsid w:val="00CE566B"/>
    <w:rsid w:val="00CF19E8"/>
    <w:rsid w:val="00D24F8E"/>
    <w:rsid w:val="00D2695E"/>
    <w:rsid w:val="00D366C9"/>
    <w:rsid w:val="00D37F7B"/>
    <w:rsid w:val="00D40511"/>
    <w:rsid w:val="00D70755"/>
    <w:rsid w:val="00D81949"/>
    <w:rsid w:val="00D93124"/>
    <w:rsid w:val="00D933D3"/>
    <w:rsid w:val="00DA0430"/>
    <w:rsid w:val="00DA64D0"/>
    <w:rsid w:val="00DB1A8E"/>
    <w:rsid w:val="00DB1D08"/>
    <w:rsid w:val="00DE03C5"/>
    <w:rsid w:val="00DE1A63"/>
    <w:rsid w:val="00E03D7F"/>
    <w:rsid w:val="00E0533B"/>
    <w:rsid w:val="00E0706F"/>
    <w:rsid w:val="00E120C8"/>
    <w:rsid w:val="00E27F07"/>
    <w:rsid w:val="00E45EF2"/>
    <w:rsid w:val="00E462F5"/>
    <w:rsid w:val="00E4780C"/>
    <w:rsid w:val="00E52A55"/>
    <w:rsid w:val="00E64572"/>
    <w:rsid w:val="00E65F88"/>
    <w:rsid w:val="00EA09A7"/>
    <w:rsid w:val="00EB08DD"/>
    <w:rsid w:val="00EC64C9"/>
    <w:rsid w:val="00ED3489"/>
    <w:rsid w:val="00ED56AC"/>
    <w:rsid w:val="00EE11B1"/>
    <w:rsid w:val="00EE6DBD"/>
    <w:rsid w:val="00EF3E99"/>
    <w:rsid w:val="00F02FCD"/>
    <w:rsid w:val="00F05CBD"/>
    <w:rsid w:val="00F066A0"/>
    <w:rsid w:val="00F26704"/>
    <w:rsid w:val="00F2700F"/>
    <w:rsid w:val="00F36BC5"/>
    <w:rsid w:val="00F56D66"/>
    <w:rsid w:val="00F65829"/>
    <w:rsid w:val="00F65ACA"/>
    <w:rsid w:val="00FB5CC2"/>
    <w:rsid w:val="00FC3830"/>
    <w:rsid w:val="00FD0B07"/>
    <w:rsid w:val="00FD11FD"/>
    <w:rsid w:val="00FD5480"/>
    <w:rsid w:val="00FE7D03"/>
    <w:rsid w:val="00FF31C3"/>
    <w:rsid w:val="00FF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4D6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705C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4C4D6D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A19F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C4D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odstavce">
    <w:name w:val="Text odstavce"/>
    <w:basedOn w:val="Normln"/>
    <w:rsid w:val="004C4D6D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4C4D6D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4C4D6D"/>
    <w:pPr>
      <w:numPr>
        <w:ilvl w:val="1"/>
        <w:numId w:val="2"/>
      </w:numPr>
      <w:jc w:val="both"/>
      <w:outlineLvl w:val="7"/>
    </w:pPr>
    <w:rPr>
      <w:szCs w:val="20"/>
    </w:rPr>
  </w:style>
  <w:style w:type="paragraph" w:styleId="Zhlav">
    <w:name w:val="header"/>
    <w:basedOn w:val="Normln"/>
    <w:semiHidden/>
    <w:rsid w:val="004C4D6D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4C4D6D"/>
    <w:pPr>
      <w:spacing w:before="160"/>
      <w:ind w:firstLine="709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F066A0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066A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37F7B"/>
    <w:pPr>
      <w:ind w:left="720"/>
      <w:contextualSpacing/>
    </w:pPr>
  </w:style>
  <w:style w:type="character" w:styleId="Hypertextovodkaz">
    <w:name w:val="Hyperlink"/>
    <w:uiPriority w:val="99"/>
    <w:unhideWhenUsed/>
    <w:rsid w:val="00D37F7B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D37F7B"/>
    <w:rPr>
      <w:color w:val="605E5C"/>
      <w:shd w:val="clear" w:color="auto" w:fill="E1DFDD"/>
    </w:rPr>
  </w:style>
  <w:style w:type="paragraph" w:customStyle="1" w:styleId="Standard">
    <w:name w:val="Standard"/>
    <w:rsid w:val="00EB08DD"/>
    <w:pPr>
      <w:suppressAutoHyphens/>
      <w:autoSpaceDN w:val="0"/>
      <w:ind w:left="425" w:hanging="425"/>
    </w:pPr>
    <w:rPr>
      <w:rFonts w:ascii="Arial" w:eastAsia="Arial" w:hAnsi="Arial" w:cs="Arial"/>
      <w:kern w:val="3"/>
      <w:sz w:val="24"/>
      <w:szCs w:val="22"/>
      <w:lang w:eastAsia="en-US"/>
    </w:rPr>
  </w:style>
  <w:style w:type="character" w:customStyle="1" w:styleId="Nadpis1Char">
    <w:name w:val="Nadpis 1 Char"/>
    <w:link w:val="Nadpis1"/>
    <w:uiPriority w:val="9"/>
    <w:rsid w:val="001705C3"/>
    <w:rPr>
      <w:rFonts w:ascii="Calibri Light" w:hAnsi="Calibri Light"/>
      <w:b/>
      <w:bCs/>
      <w:kern w:val="32"/>
      <w:sz w:val="32"/>
      <w:szCs w:val="32"/>
    </w:rPr>
  </w:style>
  <w:style w:type="paragraph" w:customStyle="1" w:styleId="Zkladntextodsazen21">
    <w:name w:val="Základní text odsazený 21"/>
    <w:basedOn w:val="Normln"/>
    <w:rsid w:val="001D7A39"/>
    <w:pPr>
      <w:widowControl w:val="0"/>
      <w:ind w:firstLine="708"/>
    </w:pPr>
    <w:rPr>
      <w:sz w:val="22"/>
      <w:szCs w:val="20"/>
    </w:rPr>
  </w:style>
  <w:style w:type="paragraph" w:customStyle="1" w:styleId="Zkladntext0">
    <w:name w:val="Základní text~~"/>
    <w:basedOn w:val="Normln"/>
    <w:rsid w:val="001D7A39"/>
    <w:pPr>
      <w:widowControl w:val="0"/>
    </w:pPr>
    <w:rPr>
      <w:rFonts w:ascii="Arial" w:hAnsi="Arial"/>
      <w:color w:val="000000"/>
      <w:sz w:val="18"/>
      <w:szCs w:val="20"/>
    </w:rPr>
  </w:style>
  <w:style w:type="character" w:customStyle="1" w:styleId="Nadpis3Char">
    <w:name w:val="Nadpis 3 Char"/>
    <w:link w:val="Nadpis3"/>
    <w:uiPriority w:val="9"/>
    <w:semiHidden/>
    <w:rsid w:val="00AA19F7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0969D-419F-485E-A346-05A64D59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667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J</Company>
  <LinksUpToDate>false</LinksUpToDate>
  <CharactersWithSpaces>4579</CharactersWithSpaces>
  <SharedDoc>false</SharedDoc>
  <HLinks>
    <vt:vector size="6" baseType="variant">
      <vt:variant>
        <vt:i4>655462</vt:i4>
      </vt:variant>
      <vt:variant>
        <vt:i4>0</vt:i4>
      </vt:variant>
      <vt:variant>
        <vt:i4>0</vt:i4>
      </vt:variant>
      <vt:variant>
        <vt:i4>5</vt:i4>
      </vt:variant>
      <vt:variant>
        <vt:lpwstr>mailto:h1h@hsc.cz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</dc:creator>
  <cp:lastModifiedBy>Radovan</cp:lastModifiedBy>
  <cp:revision>8</cp:revision>
  <cp:lastPrinted>2021-03-04T10:45:00Z</cp:lastPrinted>
  <dcterms:created xsi:type="dcterms:W3CDTF">2023-05-29T10:53:00Z</dcterms:created>
  <dcterms:modified xsi:type="dcterms:W3CDTF">2023-07-31T06:44:00Z</dcterms:modified>
</cp:coreProperties>
</file>